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Bookman Old Style" w:hAnsi="Bookman Old Style"/>
          <w:b/>
          <w:bCs/>
          <w:color w:val="0070C0"/>
          <w:lang w:val="en-GB"/>
        </w:rPr>
      </w:pPr>
      <w:r>
        <w:rPr>
          <w:rFonts w:ascii="Bookman Old Style" w:hAnsi="Bookman Old Style"/>
          <w:b/>
          <w:bCs/>
          <w:color w:val="0070C0"/>
          <w:lang w:val="en-GB"/>
        </w:rPr>
        <w:t>ARTICLE PUBLICATION CHARGE REGULATIONS</w:t>
      </w:r>
    </w:p>
    <w:p>
      <w:pPr>
        <w:pStyle w:val="Normal"/>
        <w:jc w:val="both"/>
        <w:rPr>
          <w:rFonts w:ascii="Bookman Old Style" w:hAnsi="Bookman Old Style"/>
          <w:b/>
          <w:bCs/>
          <w:i/>
          <w:i/>
          <w:iCs/>
          <w:color w:val="0070C0"/>
          <w:lang w:val="en-GB"/>
        </w:rPr>
      </w:pPr>
      <w:r>
        <w:rPr>
          <w:rFonts w:ascii="Bookman Old Style" w:hAnsi="Bookman Old Style"/>
          <w:b/>
          <w:bCs/>
          <w:i/>
          <w:iCs/>
          <w:color w:val="0070C0"/>
          <w:lang w:val="en-GB"/>
        </w:rPr>
        <w:t>Acta Physica Polonica A</w:t>
      </w:r>
    </w:p>
    <w:p>
      <w:pPr>
        <w:pStyle w:val="Normal"/>
        <w:jc w:val="both"/>
        <w:rPr>
          <w:b/>
          <w:bCs/>
          <w:i/>
          <w:i/>
          <w:iCs/>
          <w:color w:val="0070C0"/>
          <w:sz w:val="22"/>
          <w:szCs w:val="22"/>
          <w:lang w:val="en-GB"/>
        </w:rPr>
      </w:pPr>
      <w:r>
        <w:rPr>
          <w:b/>
          <w:bCs/>
          <w:i/>
          <w:iCs/>
          <w:color w:val="0070C0"/>
          <w:sz w:val="22"/>
          <w:szCs w:val="22"/>
          <w:lang w:val="en-GB"/>
        </w:rPr>
      </w:r>
    </w:p>
    <w:p>
      <w:pPr>
        <w:pStyle w:val="Normal"/>
        <w:jc w:val="both"/>
        <w:rPr>
          <w:sz w:val="22"/>
          <w:szCs w:val="22"/>
          <w:lang w:val="en-GB"/>
        </w:rPr>
      </w:pPr>
      <w:r>
        <w:rPr>
          <w:sz w:val="22"/>
          <w:szCs w:val="22"/>
          <w:lang w:val="en-GB"/>
        </w:rPr>
        <w:t xml:space="preserve">Acta Physica Polonica A (APPA) is an open access journal freely available to all readers. To publish in APPA, authors are asked to pay an article publication charge (APC) </w:t>
      </w:r>
      <w:r>
        <w:rPr>
          <w:b/>
          <w:bCs/>
          <w:sz w:val="22"/>
          <w:szCs w:val="22"/>
          <w:lang w:val="en-GB"/>
        </w:rPr>
        <w:t xml:space="preserve">for manuscripts submitted starting </w:t>
      </w:r>
      <w:r>
        <w:rPr>
          <w:b/>
          <w:bCs/>
          <w:sz w:val="22"/>
          <w:szCs w:val="22"/>
          <w:lang w:val="en-GB"/>
        </w:rPr>
        <w:t>3</w:t>
      </w:r>
      <w:r>
        <w:rPr>
          <w:b/>
          <w:bCs/>
          <w:sz w:val="22"/>
          <w:szCs w:val="22"/>
          <w:lang w:val="en-GB"/>
        </w:rPr>
        <w:t> September 2025</w:t>
      </w:r>
      <w:r>
        <w:rPr>
          <w:sz w:val="22"/>
          <w:szCs w:val="22"/>
          <w:lang w:val="en-GB"/>
        </w:rPr>
        <w:t>, as announced previously. The APC covers the costs of editorial work, management of the journal, printing, publication, and open access online to the journal articles. The APC only applies if the article is accepted for publication after peer-review and possible revision of the manuscript. There are no charges for rejected articles, no submission charges.</w:t>
      </w:r>
    </w:p>
    <w:p>
      <w:pPr>
        <w:pStyle w:val="Normal"/>
        <w:jc w:val="both"/>
        <w:rPr>
          <w:sz w:val="22"/>
          <w:szCs w:val="22"/>
          <w:lang w:val="en-GB"/>
        </w:rPr>
      </w:pPr>
      <w:r>
        <w:rPr>
          <w:sz w:val="22"/>
          <w:szCs w:val="22"/>
          <w:lang w:val="en-GB"/>
        </w:rPr>
      </w:r>
    </w:p>
    <w:p>
      <w:pPr>
        <w:pStyle w:val="Normal"/>
        <w:jc w:val="both"/>
        <w:rPr>
          <w:b/>
          <w:bCs/>
          <w:color w:val="0070C0"/>
          <w:sz w:val="22"/>
          <w:szCs w:val="22"/>
          <w:lang w:val="en-GB"/>
        </w:rPr>
      </w:pPr>
      <w:r>
        <w:rPr>
          <w:b/>
          <w:bCs/>
          <w:color w:val="0070C0"/>
          <w:sz w:val="22"/>
          <w:szCs w:val="22"/>
          <w:lang w:val="en-GB"/>
        </w:rPr>
        <w:t>Article publication charges</w:t>
      </w:r>
    </w:p>
    <w:p>
      <w:pPr>
        <w:pStyle w:val="Normal"/>
        <w:jc w:val="both"/>
        <w:rPr>
          <w:sz w:val="22"/>
          <w:szCs w:val="22"/>
          <w:lang w:val="en-GB"/>
        </w:rPr>
      </w:pPr>
      <w:r>
        <w:rPr>
          <w:sz w:val="22"/>
          <w:szCs w:val="22"/>
          <w:lang w:val="en-GB"/>
        </w:rPr>
      </w:r>
    </w:p>
    <w:p>
      <w:pPr>
        <w:pStyle w:val="Normal"/>
        <w:jc w:val="both"/>
        <w:rPr>
          <w:sz w:val="22"/>
          <w:szCs w:val="22"/>
          <w:lang w:val="en-GB"/>
        </w:rPr>
      </w:pPr>
      <w:r>
        <w:rPr>
          <w:sz w:val="22"/>
          <w:szCs w:val="22"/>
          <w:lang w:val="en-GB"/>
        </w:rPr>
        <w:t>The APCs for published articles are as follows:</w:t>
      </w:r>
    </w:p>
    <w:p>
      <w:pPr>
        <w:pStyle w:val="Normal"/>
        <w:jc w:val="both"/>
        <w:rPr>
          <w:sz w:val="22"/>
          <w:szCs w:val="22"/>
          <w:lang w:val="en-GB"/>
        </w:rPr>
      </w:pPr>
      <w:r>
        <w:rPr>
          <w:sz w:val="22"/>
          <w:szCs w:val="22"/>
          <w:lang w:val="en-GB"/>
        </w:rPr>
      </w:r>
    </w:p>
    <w:p>
      <w:pPr>
        <w:pStyle w:val="Normal"/>
        <w:jc w:val="both"/>
        <w:rPr>
          <w:sz w:val="22"/>
          <w:szCs w:val="22"/>
          <w:lang w:val="en-GB"/>
        </w:rPr>
      </w:pPr>
      <w:r>
        <w:rPr>
          <w:sz w:val="22"/>
          <w:szCs w:val="22"/>
          <w:lang w:val="en-GB"/>
        </w:rPr>
        <w:t>Articles up to 10 pages long</w:t>
        <w:tab/>
        <w:t xml:space="preserve">400 </w:t>
      </w:r>
      <w:r>
        <w:rPr>
          <w:rFonts w:eastAsia="DejaVu Sans" w:cs="DejaVu Sans"/>
          <w:sz w:val="22"/>
          <w:szCs w:val="22"/>
          <w:lang w:val="en-GB"/>
        </w:rPr>
        <w:t xml:space="preserve">  EUR</w:t>
      </w:r>
      <w:r>
        <w:rPr>
          <w:sz w:val="22"/>
          <w:szCs w:val="22"/>
          <w:lang w:val="en-GB"/>
        </w:rPr>
        <w:t xml:space="preserve"> net plus 23% VAT  </w:t>
        <w:tab/>
        <w:t>(492   EUR</w:t>
      </w:r>
      <w:r>
        <w:rPr>
          <w:rFonts w:eastAsia="DejaVu Sans" w:cs="DejaVu Sans"/>
          <w:sz w:val="22"/>
          <w:szCs w:val="22"/>
          <w:lang w:val="en-GB"/>
        </w:rPr>
        <w:t xml:space="preserve"> including VAT)</w:t>
      </w:r>
    </w:p>
    <w:p>
      <w:pPr>
        <w:pStyle w:val="Normal"/>
        <w:jc w:val="both"/>
        <w:rPr>
          <w:sz w:val="22"/>
          <w:szCs w:val="22"/>
          <w:lang w:val="en-GB"/>
        </w:rPr>
      </w:pPr>
      <w:r>
        <w:rPr>
          <w:rFonts w:eastAsia="DejaVu Sans" w:cs="DejaVu Sans"/>
          <w:sz w:val="22"/>
          <w:szCs w:val="22"/>
          <w:lang w:val="en-GB"/>
        </w:rPr>
        <w:tab/>
        <w:tab/>
        <w:tab/>
        <w:tab/>
        <w:t xml:space="preserve">1600 PLN net </w:t>
        <w:tab/>
        <w:tab/>
        <w:tab/>
        <w:t>(1968 PLN including VAT)</w:t>
      </w:r>
    </w:p>
    <w:p>
      <w:pPr>
        <w:pStyle w:val="Normal"/>
        <w:jc w:val="both"/>
        <w:rPr>
          <w:rFonts w:eastAsia="DejaVu Sans" w:cs="DejaVu Sans"/>
          <w:lang w:val="en-US"/>
        </w:rPr>
      </w:pPr>
      <w:r>
        <w:rPr>
          <w:rFonts w:eastAsia="DejaVu Sans" w:cs="DejaVu Sans"/>
          <w:lang w:val="en-US"/>
        </w:rPr>
      </w:r>
    </w:p>
    <w:p>
      <w:pPr>
        <w:pStyle w:val="Normal"/>
        <w:jc w:val="both"/>
        <w:rPr>
          <w:sz w:val="22"/>
          <w:szCs w:val="22"/>
          <w:lang w:val="en-GB"/>
        </w:rPr>
      </w:pPr>
      <w:r>
        <w:rPr>
          <w:rFonts w:eastAsia="DejaVu Sans" w:cs="DejaVu Sans"/>
          <w:sz w:val="22"/>
          <w:szCs w:val="22"/>
          <w:lang w:val="en-GB"/>
        </w:rPr>
        <w:t>Additional pages</w:t>
        <w:tab/>
        <w:tab/>
        <w:t>25   EUR</w:t>
      </w:r>
      <w:r>
        <w:rPr>
          <w:sz w:val="22"/>
          <w:szCs w:val="22"/>
          <w:lang w:val="en-GB"/>
        </w:rPr>
        <w:t xml:space="preserve"> plus 23% VAT   (30.75 EUR</w:t>
      </w:r>
      <w:r>
        <w:rPr>
          <w:rFonts w:eastAsia="DejaVu Sans" w:cs="DejaVu Sans"/>
          <w:sz w:val="22"/>
          <w:szCs w:val="22"/>
          <w:lang w:val="en-GB"/>
        </w:rPr>
        <w:t xml:space="preserve"> gross)</w:t>
      </w:r>
    </w:p>
    <w:p>
      <w:pPr>
        <w:pStyle w:val="Normal"/>
        <w:jc w:val="both"/>
        <w:rPr>
          <w:sz w:val="22"/>
          <w:szCs w:val="22"/>
          <w:lang w:val="en-GB"/>
        </w:rPr>
      </w:pPr>
      <w:r>
        <w:rPr>
          <w:rFonts w:eastAsia="DejaVu Sans" w:cs="DejaVu Sans"/>
          <w:sz w:val="22"/>
          <w:szCs w:val="22"/>
          <w:lang w:val="en-GB"/>
        </w:rPr>
        <w:tab/>
        <w:tab/>
        <w:tab/>
        <w:tab/>
        <w:t>100 PLN</w:t>
      </w:r>
      <w:r>
        <w:rPr>
          <w:sz w:val="22"/>
          <w:szCs w:val="22"/>
          <w:lang w:val="en-GB"/>
        </w:rPr>
        <w:t xml:space="preserve"> plus 23% VAT   (123     PLN</w:t>
      </w:r>
      <w:r>
        <w:rPr>
          <w:rFonts w:eastAsia="DejaVu Sans" w:cs="DejaVu Sans"/>
          <w:sz w:val="22"/>
          <w:szCs w:val="22"/>
          <w:lang w:val="en-GB"/>
        </w:rPr>
        <w:t xml:space="preserve"> gross)</w:t>
      </w:r>
    </w:p>
    <w:p>
      <w:pPr>
        <w:pStyle w:val="Normal"/>
        <w:jc w:val="both"/>
        <w:rPr>
          <w:rFonts w:eastAsia="DejaVu Sans" w:cs="DejaVu Sans"/>
          <w:lang w:val="en-US"/>
        </w:rPr>
      </w:pPr>
      <w:r>
        <w:rPr>
          <w:rFonts w:eastAsia="DejaVu Sans" w:cs="DejaVu Sans"/>
          <w:lang w:val="en-US"/>
        </w:rPr>
      </w:r>
    </w:p>
    <w:p>
      <w:pPr>
        <w:pStyle w:val="Normal"/>
        <w:jc w:val="both"/>
        <w:rPr>
          <w:sz w:val="22"/>
          <w:szCs w:val="22"/>
          <w:lang w:val="en-GB"/>
        </w:rPr>
      </w:pPr>
      <w:r>
        <w:rPr>
          <w:rFonts w:eastAsia="DejaVu Sans" w:cs="DejaVu Sans"/>
          <w:sz w:val="22"/>
          <w:szCs w:val="22"/>
          <w:lang w:val="en-GB"/>
        </w:rPr>
        <w:t>Page counts are made according to the final author-submitted accepted version of the article as converted by the editorial team into journal format, including figures and bibliography.</w:t>
      </w:r>
      <w:r>
        <w:rPr>
          <w:rFonts w:eastAsia="DejaVu Sans" w:cs="DejaVu Sans"/>
          <w:b w:val="false"/>
          <w:bCs w:val="false"/>
          <w:i w:val="false"/>
          <w:iCs w:val="false"/>
          <w:sz w:val="22"/>
          <w:szCs w:val="22"/>
          <w:u w:val="none"/>
          <w:lang w:val="en-GB"/>
        </w:rPr>
        <w:t xml:space="preserve"> After acceptance the editorial team will contact you regarding the APC and due date</w:t>
      </w:r>
      <w:r>
        <w:rPr>
          <w:rFonts w:eastAsia="DejaVu Sans" w:cs="DejaVu Sans"/>
          <w:sz w:val="22"/>
          <w:szCs w:val="22"/>
          <w:lang w:val="en-GB"/>
        </w:rPr>
        <w:t>, and a pro-forma invoice will be sent from our finances department. By default the due date is 14 days after sending of the pro-forma invoice and currency PLN for corresponding authors' affiliation in Poland and in EUR otherwise, unless the corresponding author requests differently.</w:t>
      </w:r>
    </w:p>
    <w:p>
      <w:pPr>
        <w:pStyle w:val="Normal"/>
        <w:jc w:val="both"/>
        <w:rPr>
          <w:rFonts w:eastAsia="DejaVu Sans" w:cs="DejaVu Sans"/>
          <w:sz w:val="22"/>
          <w:lang w:val="en-US"/>
        </w:rPr>
      </w:pPr>
      <w:r>
        <w:rPr>
          <w:rFonts w:eastAsia="DejaVu Sans" w:cs="DejaVu Sans"/>
          <w:sz w:val="22"/>
          <w:lang w:val="en-US"/>
        </w:rPr>
      </w:r>
    </w:p>
    <w:p>
      <w:pPr>
        <w:pStyle w:val="Normal"/>
        <w:jc w:val="both"/>
        <w:rPr>
          <w:sz w:val="22"/>
          <w:szCs w:val="22"/>
          <w:lang w:val="en-GB"/>
        </w:rPr>
      </w:pPr>
      <w:r>
        <w:rPr>
          <w:rFonts w:eastAsia="DejaVu Sans" w:cs="DejaVu Sans"/>
          <w:sz w:val="22"/>
          <w:szCs w:val="22"/>
          <w:lang w:val="en-GB"/>
        </w:rPr>
        <w:t xml:space="preserve">Accepted articles will not be published until payment has been received. Refunds or partial refunds of the APC are possible only for manuscripts withdrawn from the editorial process on request of the corresponding author, and are not possible once article has been published. </w:t>
      </w:r>
    </w:p>
    <w:p>
      <w:pPr>
        <w:pStyle w:val="Normal"/>
        <w:jc w:val="both"/>
        <w:rPr>
          <w:rFonts w:eastAsia="DejaVu Sans" w:cs="DejaVu Sans"/>
          <w:sz w:val="22"/>
          <w:lang w:val="en-US"/>
        </w:rPr>
      </w:pPr>
      <w:r>
        <w:rPr>
          <w:rFonts w:eastAsia="DejaVu Sans" w:cs="DejaVu Sans"/>
          <w:sz w:val="22"/>
          <w:lang w:val="en-US"/>
        </w:rPr>
      </w:r>
    </w:p>
    <w:p>
      <w:pPr>
        <w:pStyle w:val="Normal"/>
        <w:jc w:val="both"/>
        <w:rPr>
          <w:b/>
          <w:bCs/>
          <w:color w:val="0070C0"/>
          <w:sz w:val="22"/>
          <w:szCs w:val="22"/>
          <w:lang w:val="en-GB"/>
        </w:rPr>
      </w:pPr>
      <w:r>
        <w:rPr>
          <w:b/>
          <w:bCs/>
          <w:color w:val="0070C0"/>
          <w:sz w:val="22"/>
          <w:szCs w:val="22"/>
          <w:lang w:val="en-GB"/>
        </w:rPr>
        <w:t>Special waivers</w:t>
      </w:r>
    </w:p>
    <w:p>
      <w:pPr>
        <w:pStyle w:val="Normal"/>
        <w:jc w:val="both"/>
        <w:rPr>
          <w:b/>
          <w:bCs/>
          <w:color w:val="0070C0"/>
          <w:sz w:val="22"/>
          <w:szCs w:val="22"/>
          <w:lang w:val="en-GB"/>
        </w:rPr>
      </w:pPr>
      <w:r>
        <w:rPr>
          <w:b/>
          <w:bCs/>
          <w:color w:val="0070C0"/>
          <w:sz w:val="22"/>
          <w:szCs w:val="22"/>
          <w:lang w:val="en-GB"/>
        </w:rPr>
      </w:r>
    </w:p>
    <w:p>
      <w:pPr>
        <w:pStyle w:val="Normal"/>
        <w:numPr>
          <w:ilvl w:val="0"/>
          <w:numId w:val="1"/>
        </w:numPr>
        <w:rPr>
          <w:lang w:val="en-US"/>
        </w:rPr>
      </w:pPr>
      <w:r>
        <w:rPr>
          <w:rFonts w:eastAsia="DejaVu Sans" w:cs="DejaVu Sans"/>
          <w:sz w:val="22"/>
          <w:szCs w:val="22"/>
          <w:lang w:val="en-GB"/>
        </w:rPr>
        <w:t>APCs are waived for publications invited by the Scientific Committee of the Journal.</w:t>
      </w:r>
    </w:p>
    <w:p>
      <w:pPr>
        <w:pStyle w:val="Normal"/>
        <w:numPr>
          <w:ilvl w:val="0"/>
          <w:numId w:val="1"/>
        </w:numPr>
        <w:rPr>
          <w:lang w:val="en-US"/>
        </w:rPr>
      </w:pPr>
      <w:r>
        <w:rPr>
          <w:rFonts w:eastAsia="DejaVu Sans" w:cs="DejaVu Sans"/>
          <w:sz w:val="22"/>
          <w:szCs w:val="22"/>
          <w:lang w:val="en-GB"/>
        </w:rPr>
        <w:t>The APC is reduced by 50% for APPA referees who have refereed at least 3 articles for the journal in the previous 365 days (the reduction can be applied once in 365 days).</w:t>
      </w:r>
    </w:p>
    <w:p>
      <w:pPr>
        <w:pStyle w:val="Normal"/>
        <w:numPr>
          <w:ilvl w:val="0"/>
          <w:numId w:val="1"/>
        </w:numPr>
        <w:rPr>
          <w:lang w:val="en-US"/>
        </w:rPr>
      </w:pPr>
      <w:r>
        <w:rPr>
          <w:rFonts w:eastAsia="DejaVu Sans" w:cs="DejaVu Sans"/>
          <w:sz w:val="22"/>
          <w:szCs w:val="22"/>
          <w:lang w:val="en-GB"/>
        </w:rPr>
        <w:t>The Publisher (IF PAN) can offer discretionary partial or full waivers in especially justified cases, by decision of the Editor-in-Chief. Such a decision is final.</w:t>
      </w:r>
    </w:p>
    <w:p>
      <w:pPr>
        <w:pStyle w:val="Normal"/>
        <w:numPr>
          <w:ilvl w:val="0"/>
          <w:numId w:val="1"/>
        </w:numPr>
        <w:rPr>
          <w:lang w:val="en-US"/>
        </w:rPr>
      </w:pPr>
      <w:r>
        <w:rPr>
          <w:rFonts w:eastAsia="DejaVu Sans" w:cs="DejaVu Sans"/>
          <w:sz w:val="22"/>
          <w:szCs w:val="22"/>
          <w:lang w:val="en-GB"/>
        </w:rPr>
        <w:t>Publication fees do not apply to articles first submitted before 1 September 2025.</w:t>
      </w:r>
    </w:p>
    <w:p>
      <w:pPr>
        <w:pStyle w:val="Normal"/>
        <w:numPr>
          <w:ilvl w:val="0"/>
          <w:numId w:val="1"/>
        </w:numPr>
        <w:rPr>
          <w:lang w:val="en-US"/>
        </w:rPr>
      </w:pPr>
      <w:r>
        <w:rPr>
          <w:rFonts w:eastAsia="DejaVu Sans" w:cs="DejaVu Sans"/>
          <w:sz w:val="22"/>
          <w:szCs w:val="22"/>
          <w:lang w:val="en-GB"/>
        </w:rPr>
        <w:t>For articles first submitted in the period 1 September to 31 December 2025 publication fees can be waived by decision of the Editor-in-Chief upon request by the corresponding author. Articles subject to this waiver will  be processed at a lower priority and their publication may be delayed by up to three months.</w:t>
      </w:r>
    </w:p>
    <w:p>
      <w:pPr>
        <w:pStyle w:val="Normal"/>
        <w:jc w:val="both"/>
        <w:rPr>
          <w:sz w:val="22"/>
          <w:szCs w:val="22"/>
          <w:lang w:val="en-GB"/>
        </w:rPr>
      </w:pPr>
      <w:r>
        <w:rPr>
          <w:sz w:val="22"/>
          <w:szCs w:val="22"/>
          <w:lang w:val="en-GB"/>
        </w:rPr>
      </w:r>
    </w:p>
    <w:p>
      <w:pPr>
        <w:pStyle w:val="Normal"/>
        <w:jc w:val="both"/>
        <w:rPr>
          <w:b/>
          <w:bCs/>
          <w:color w:val="0070C0"/>
          <w:sz w:val="22"/>
          <w:szCs w:val="22"/>
          <w:lang w:val="en-GB"/>
        </w:rPr>
      </w:pPr>
      <w:r>
        <w:rPr>
          <w:b/>
          <w:bCs/>
          <w:color w:val="0070C0"/>
          <w:sz w:val="22"/>
          <w:szCs w:val="22"/>
          <w:lang w:val="en-GB"/>
        </w:rPr>
        <w:t>Payment details</w:t>
      </w:r>
    </w:p>
    <w:p>
      <w:pPr>
        <w:pStyle w:val="Normal"/>
        <w:jc w:val="both"/>
        <w:rPr>
          <w:sz w:val="22"/>
          <w:szCs w:val="22"/>
          <w:lang w:val="en-GB"/>
        </w:rPr>
      </w:pPr>
      <w:r>
        <w:rPr>
          <w:sz w:val="22"/>
          <w:szCs w:val="22"/>
          <w:lang w:val="en-GB"/>
        </w:rPr>
      </w:r>
    </w:p>
    <w:p>
      <w:pPr>
        <w:pStyle w:val="Normal"/>
        <w:jc w:val="both"/>
        <w:rPr>
          <w:b/>
          <w:bCs/>
        </w:rPr>
      </w:pPr>
      <w:r>
        <w:rPr>
          <w:b/>
          <w:bCs/>
          <w:sz w:val="22"/>
          <w:szCs w:val="22"/>
          <w:lang w:val="en-GB"/>
        </w:rPr>
        <w:t xml:space="preserve">The editorial team will communicate the APC amount to the corresponding author after acceptance of the article. Please fill, sign, and send the </w:t>
      </w:r>
      <w:r>
        <w:rPr>
          <w:b/>
          <w:bCs/>
          <w:i/>
          <w:iCs/>
          <w:sz w:val="22"/>
          <w:szCs w:val="22"/>
          <w:lang w:val="en-GB"/>
        </w:rPr>
        <w:t>Publication and Copyright Transfer Agreement</w:t>
      </w:r>
      <w:r>
        <w:rPr>
          <w:b/>
          <w:bCs/>
          <w:sz w:val="22"/>
          <w:szCs w:val="22"/>
          <w:lang w:val="en-GB"/>
        </w:rPr>
        <w:t xml:space="preserve"> before making payment.</w:t>
      </w:r>
    </w:p>
    <w:p>
      <w:pPr>
        <w:pStyle w:val="Normal"/>
        <w:jc w:val="both"/>
        <w:rPr>
          <w:sz w:val="22"/>
          <w:szCs w:val="22"/>
          <w:lang w:val="en-GB"/>
        </w:rPr>
      </w:pPr>
      <w:r>
        <w:rPr>
          <w:sz w:val="22"/>
          <w:szCs w:val="22"/>
          <w:lang w:val="en-GB"/>
        </w:rPr>
      </w:r>
    </w:p>
    <w:p>
      <w:pPr>
        <w:pStyle w:val="Normal"/>
        <w:jc w:val="both"/>
        <w:rPr>
          <w:sz w:val="22"/>
          <w:szCs w:val="22"/>
          <w:lang w:val="en-GB"/>
        </w:rPr>
      </w:pPr>
      <w:r>
        <w:rPr>
          <w:sz w:val="22"/>
          <w:szCs w:val="22"/>
          <w:lang w:val="en-GB"/>
        </w:rPr>
        <w:t>Payment is made by bank transfer to the following accounts:</w:t>
      </w:r>
    </w:p>
    <w:p>
      <w:pPr>
        <w:pStyle w:val="Normal"/>
        <w:jc w:val="both"/>
        <w:rPr>
          <w:sz w:val="22"/>
          <w:szCs w:val="22"/>
          <w:lang w:val="en-GB"/>
        </w:rPr>
      </w:pPr>
      <w:r>
        <w:rPr>
          <w:sz w:val="22"/>
          <w:szCs w:val="22"/>
          <w:lang w:val="en-GB"/>
        </w:rPr>
      </w:r>
    </w:p>
    <w:p>
      <w:pPr>
        <w:pStyle w:val="Normal"/>
        <w:spacing w:before="57" w:after="57"/>
        <w:jc w:val="both"/>
        <w:rPr>
          <w:sz w:val="22"/>
          <w:szCs w:val="22"/>
          <w:lang w:val="en-GB"/>
        </w:rPr>
      </w:pPr>
      <w:r>
        <w:rPr>
          <w:sz w:val="22"/>
          <w:szCs w:val="22"/>
          <w:lang w:val="en-GB"/>
        </w:rPr>
        <w:t xml:space="preserve">Account owner: </w:t>
        <w:tab/>
        <w:t>Institute of Physics, Polish Academy of Sciences, Aleja Lotników 32/46,</w:t>
        <w:tab/>
        <w:t xml:space="preserve"> </w:t>
        <w:br/>
        <w:tab/>
        <w:tab/>
        <w:tab/>
        <w:t>02-668 Warszawa, Poland</w:t>
      </w:r>
    </w:p>
    <w:p>
      <w:pPr>
        <w:pStyle w:val="Normal"/>
        <w:spacing w:before="57" w:after="57"/>
        <w:jc w:val="both"/>
        <w:rPr>
          <w:sz w:val="22"/>
          <w:szCs w:val="22"/>
        </w:rPr>
      </w:pPr>
      <w:r>
        <w:rPr>
          <w:sz w:val="22"/>
          <w:szCs w:val="22"/>
        </w:rPr>
        <w:t xml:space="preserve">Bank name: </w:t>
        <w:tab/>
        <w:tab/>
        <w:t>Bank Gospodarstwa Krajowego</w:t>
      </w:r>
    </w:p>
    <w:p>
      <w:pPr>
        <w:pStyle w:val="Normal"/>
        <w:spacing w:before="57" w:after="57"/>
        <w:jc w:val="both"/>
        <w:rPr/>
      </w:pPr>
      <w:r>
        <w:rPr>
          <w:sz w:val="22"/>
          <w:szCs w:val="22"/>
        </w:rPr>
        <w:t xml:space="preserve">SWIFT/BIC: </w:t>
        <w:tab/>
        <w:tab/>
      </w:r>
      <w:r>
        <w:rPr/>
        <w:t>GOSKPLPW</w:t>
      </w:r>
    </w:p>
    <w:p>
      <w:pPr>
        <w:pStyle w:val="Normal"/>
        <w:spacing w:before="57" w:after="57"/>
        <w:jc w:val="both"/>
        <w:rPr>
          <w:sz w:val="22"/>
          <w:szCs w:val="22"/>
          <w:lang w:val="en-GB"/>
        </w:rPr>
      </w:pPr>
      <w:r>
        <w:rPr>
          <w:sz w:val="22"/>
          <w:szCs w:val="22"/>
          <w:lang w:val="en-GB"/>
        </w:rPr>
        <w:t xml:space="preserve">Account number for </w:t>
      </w:r>
      <w:r>
        <w:rPr>
          <w:b/>
          <w:bCs/>
          <w:sz w:val="22"/>
          <w:szCs w:val="22"/>
          <w:lang w:val="en-GB"/>
        </w:rPr>
        <w:t xml:space="preserve">Payment in EUR: </w:t>
      </w:r>
      <w:r>
        <w:rPr>
          <w:sz w:val="22"/>
          <w:szCs w:val="22"/>
          <w:lang w:val="en-GB"/>
        </w:rPr>
        <w:t xml:space="preserve">  </w:t>
        <w:tab/>
        <w:t>PL 35 1130 1017 0013 4373 9820 0027</w:t>
      </w:r>
    </w:p>
    <w:p>
      <w:pPr>
        <w:pStyle w:val="Normal"/>
        <w:spacing w:before="57" w:after="57"/>
        <w:jc w:val="both"/>
        <w:rPr>
          <w:sz w:val="22"/>
          <w:szCs w:val="22"/>
          <w:lang w:val="en-GB"/>
        </w:rPr>
      </w:pPr>
      <w:r>
        <w:rPr>
          <w:sz w:val="22"/>
          <w:szCs w:val="22"/>
          <w:lang w:val="en-GB"/>
        </w:rPr>
        <w:t xml:space="preserve">Account number for </w:t>
      </w:r>
      <w:r>
        <w:rPr>
          <w:b/>
          <w:bCs/>
          <w:sz w:val="22"/>
          <w:szCs w:val="22"/>
          <w:lang w:val="en-GB"/>
        </w:rPr>
        <w:t xml:space="preserve">Payment in PLN: </w:t>
      </w:r>
      <w:r>
        <w:rPr>
          <w:sz w:val="22"/>
          <w:szCs w:val="22"/>
          <w:lang w:val="en-GB"/>
        </w:rPr>
        <w:t xml:space="preserve">  </w:t>
        <w:tab/>
        <w:t>PL 35 1130 1017 0013 4373 9820 0025</w:t>
      </w:r>
    </w:p>
    <w:p>
      <w:pPr>
        <w:pStyle w:val="Normal"/>
        <w:spacing w:before="57" w:after="57"/>
        <w:jc w:val="both"/>
        <w:rPr>
          <w:sz w:val="22"/>
          <w:szCs w:val="22"/>
          <w:lang w:val="en-GB"/>
        </w:rPr>
      </w:pPr>
      <w:r>
        <w:rPr>
          <w:sz w:val="22"/>
          <w:szCs w:val="22"/>
          <w:lang w:val="en-GB"/>
        </w:rPr>
        <w:t xml:space="preserve">Transfer title/tytułem: </w:t>
        <w:tab/>
        <w:t xml:space="preserve">APC for manuscript #### </w:t>
        <w:tab/>
        <w:br/>
        <w:tab/>
        <w:tab/>
        <w:tab/>
      </w:r>
      <w:r>
        <w:rPr>
          <w:i/>
          <w:iCs/>
          <w:sz w:val="22"/>
          <w:szCs w:val="22"/>
          <w:lang w:val="en-GB"/>
        </w:rPr>
        <w:t>(please replace "####" by your manuscript number)</w:t>
      </w:r>
    </w:p>
    <w:p>
      <w:pPr>
        <w:pStyle w:val="Normal"/>
        <w:jc w:val="both"/>
        <w:rPr>
          <w:sz w:val="22"/>
          <w:szCs w:val="22"/>
          <w:lang w:val="en-GB"/>
        </w:rPr>
      </w:pPr>
      <w:r>
        <w:rPr>
          <w:sz w:val="22"/>
          <w:szCs w:val="22"/>
          <w:lang w:val="en-GB"/>
        </w:rPr>
      </w:r>
    </w:p>
    <w:sectPr>
      <w:type w:val="nextPage"/>
      <w:pgSz w:w="11906" w:h="16838"/>
      <w:pgMar w:left="1134" w:right="1134" w:gutter="0" w:header="0" w:top="964" w:footer="0" w:bottom="9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Bookman Old Style">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Noto Serif CJK SC" w:cs="Lohit Devanagari"/>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TekstkomentarzaZnak" w:customStyle="1">
    <w:name w:val="Tekst komentarza Znak"/>
    <w:basedOn w:val="DefaultParagraphFont"/>
    <w:link w:val="Annotationtext"/>
    <w:uiPriority w:val="99"/>
    <w:qFormat/>
    <w:rPr>
      <w:rFonts w:cs="Mangal"/>
      <w:sz w:val="20"/>
      <w:szCs w:val="18"/>
    </w:rPr>
  </w:style>
  <w:style w:type="character" w:styleId="Annotationreference">
    <w:name w:val="annotation reference"/>
    <w:basedOn w:val="DefaultParagraphFont"/>
    <w:uiPriority w:val="99"/>
    <w:semiHidden/>
    <w:unhideWhenUsed/>
    <w:qFormat/>
    <w:rPr>
      <w:sz w:val="16"/>
      <w:szCs w:val="16"/>
    </w:rPr>
  </w:style>
  <w:style w:type="character" w:styleId="TematkomentarzaZnak" w:customStyle="1">
    <w:name w:val="Temat komentarza Znak"/>
    <w:basedOn w:val="TekstkomentarzaZnak"/>
    <w:link w:val="Annotationsubject"/>
    <w:uiPriority w:val="99"/>
    <w:semiHidden/>
    <w:qFormat/>
    <w:rsid w:val="00b835cd"/>
    <w:rPr>
      <w:rFonts w:cs="Mangal"/>
      <w:b/>
      <w:bCs/>
      <w:sz w:val="20"/>
      <w:szCs w:val="18"/>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ascii="Calibri" w:hAnsi="Calibri" w:cs="Lohit Devanagari"/>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Annotationtext">
    <w:name w:val="annotation text"/>
    <w:basedOn w:val="Normal"/>
    <w:link w:val="TekstkomentarzaZnak"/>
    <w:uiPriority w:val="99"/>
    <w:unhideWhenUsed/>
    <w:qFormat/>
    <w:pPr/>
    <w:rPr>
      <w:rFonts w:cs="Mangal"/>
      <w:sz w:val="20"/>
      <w:szCs w:val="18"/>
    </w:rPr>
  </w:style>
  <w:style w:type="paragraph" w:styleId="Annotationsubject">
    <w:name w:val="annotation subject"/>
    <w:basedOn w:val="Annotationtext"/>
    <w:next w:val="Annotationtext"/>
    <w:link w:val="TematkomentarzaZnak"/>
    <w:uiPriority w:val="99"/>
    <w:semiHidden/>
    <w:unhideWhenUsed/>
    <w:qFormat/>
    <w:rsid w:val="00b835cd"/>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3677</TotalTime>
  <Application>LibreOffice/7.6.7.2$Linux_X86_64 LibreOffice_project/60$Build-2</Application>
  <AppVersion>15.0000</AppVersion>
  <DocSecurity>4</DocSecurity>
  <Pages>2</Pages>
  <Words>527</Words>
  <Characters>2771</Characters>
  <CharactersWithSpaces>3319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2025-08-25T16:19:00Z</dcterms:created>
  <dc:creator>Piotr Deuar</dc:creator>
  <dc:description/>
  <dc:language>pl-PL</dc:language>
  <cp:lastModifiedBy>Piotr Deuar</cp:lastModifiedBy>
  <dcterms:modified xsi:type="dcterms:W3CDTF">2025-09-02T14:34:21Z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